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E" w:rsidRDefault="000E504E" w:rsidP="000E504E">
      <w:pPr>
        <w:pStyle w:val="1"/>
        <w:shd w:val="clear" w:color="auto" w:fill="FFFFFF"/>
        <w:spacing w:before="0"/>
        <w:ind w:right="-710"/>
        <w:jc w:val="center"/>
        <w:rPr>
          <w:rFonts w:ascii="inherit" w:hAnsi="inherit"/>
          <w:b w:val="0"/>
          <w:bCs w:val="0"/>
          <w:color w:val="555555"/>
          <w:sz w:val="42"/>
          <w:szCs w:val="42"/>
        </w:rPr>
      </w:pPr>
      <w:r>
        <w:rPr>
          <w:rFonts w:ascii="inherit" w:hAnsi="inherit"/>
          <w:b w:val="0"/>
          <w:bCs w:val="0"/>
          <w:color w:val="555555"/>
          <w:sz w:val="42"/>
          <w:szCs w:val="42"/>
        </w:rPr>
        <w:t>представительное собрание</w:t>
      </w:r>
    </w:p>
    <w:p w:rsidR="000E504E" w:rsidRDefault="000E504E" w:rsidP="000E504E">
      <w:pPr>
        <w:pStyle w:val="1"/>
        <w:shd w:val="clear" w:color="auto" w:fill="FFFFFF"/>
        <w:spacing w:before="0"/>
        <w:ind w:right="-710"/>
        <w:jc w:val="center"/>
        <w:rPr>
          <w:rFonts w:ascii="inherit" w:hAnsi="inherit"/>
          <w:b w:val="0"/>
          <w:bCs w:val="0"/>
          <w:color w:val="555555"/>
          <w:sz w:val="42"/>
          <w:szCs w:val="42"/>
        </w:rPr>
      </w:pPr>
      <w:r>
        <w:rPr>
          <w:rFonts w:ascii="inherit" w:hAnsi="inherit"/>
          <w:b w:val="0"/>
          <w:bCs w:val="0"/>
          <w:color w:val="BDC3C7"/>
          <w:sz w:val="42"/>
          <w:szCs w:val="42"/>
          <w:lang w:val="en-US"/>
        </w:rPr>
        <w:t>  КАСТОРЕНСКОГО РАЙОНА КУРСКОЙ ОБЛАСТИ</w:t>
      </w:r>
    </w:p>
    <w:p w:rsidR="000E504E" w:rsidRDefault="000E504E" w:rsidP="000E504E">
      <w:pPr>
        <w:shd w:val="clear" w:color="auto" w:fill="FFFFFF"/>
        <w:spacing w:after="150" w:line="300" w:lineRule="atLeast"/>
        <w:rPr>
          <w:rFonts w:ascii="Times New Roman" w:hAnsi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0E504E" w:rsidRDefault="000E504E" w:rsidP="000E504E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12</w:t>
      </w:r>
    </w:p>
    <w:p w:rsidR="000E504E" w:rsidRDefault="000E504E" w:rsidP="000E504E">
      <w:pPr>
        <w:shd w:val="clear" w:color="auto" w:fill="FFFFFF"/>
        <w:spacing w:after="150" w:line="300" w:lineRule="atLeast"/>
        <w:rPr>
          <w:color w:val="555555"/>
        </w:rPr>
      </w:pPr>
      <w:r>
        <w:rPr>
          <w:rStyle w:val="a3"/>
          <w:color w:val="555555"/>
          <w:sz w:val="32"/>
          <w:szCs w:val="32"/>
        </w:rPr>
        <w:t> </w:t>
      </w:r>
    </w:p>
    <w:p w:rsidR="000E504E" w:rsidRDefault="000E504E" w:rsidP="000E504E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555555"/>
        </w:rPr>
        <w:t>                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2692"/>
      </w:tblGrid>
      <w:tr w:rsidR="000E504E" w:rsidTr="000E504E">
        <w:trPr>
          <w:trHeight w:val="1610"/>
        </w:trPr>
        <w:tc>
          <w:tcPr>
            <w:tcW w:w="6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4E" w:rsidRDefault="000E504E">
            <w:pPr>
              <w:spacing w:after="150" w:line="300" w:lineRule="atLeast"/>
              <w:jc w:val="both"/>
            </w:pPr>
            <w:r>
              <w:rPr>
                <w:rStyle w:val="a3"/>
                <w:sz w:val="26"/>
                <w:szCs w:val="26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Об изъятии из оперативного управления движимого имущества  МКУ «Обеспечение деятельности Администрации» Касторенского района Курской области и передачи в казну муниципального района «Касторенский район» Курской области</w:t>
            </w:r>
          </w:p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4E" w:rsidRDefault="000E504E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6"/>
          <w:szCs w:val="26"/>
        </w:rPr>
        <w:t> 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В соответствии со ст. 209, 296, Гражданского кодекса РФ, руководствуясь «Положением о порядке управления и распоряжения имуществом, находящимся в муниципальной собственности Касторенского района», утвержденным решением Представительного Собрания Касторенского района от 27.07.2012 г. №70, в связи с письменным обращением в Администрацию Касторенского района Курской области директора МКУ «Обеспечение деятельности Администрации» Ширяевой Е.А. рассмотрев предоставленные документы, Представительное Собрание Касторенского района РЕШИЛО: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1.Изъять у муниципального казенного учреждения «Обеспечение деятельности Администрации» Касторенского района Курской области из оперативного управления движимое имущество, согласно приложению №1 к настоящему решению.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2. Включить муниципальное имущество в казну муниципального района «Касторенский район» Курской области, согласно приложению</w:t>
      </w:r>
      <w:r>
        <w:rPr>
          <w:rFonts w:ascii="Arial" w:hAnsi="Arial" w:cs="Arial"/>
          <w:color w:val="555555"/>
          <w:shd w:val="clear" w:color="auto" w:fill="FFFFFF"/>
        </w:rPr>
        <w:t> №2, </w:t>
      </w:r>
      <w:r>
        <w:rPr>
          <w:rFonts w:ascii="Arial" w:hAnsi="Arial" w:cs="Arial"/>
          <w:color w:val="555555"/>
        </w:rPr>
        <w:t>к настоящему решению.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3.Поручить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4. Контроль за исполнением настоящего решения возложить на заместителя Главы Администрации Касторенского района Барабанщикова А.Н.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5. Настоящее решение вступает в силу с даты его подписания.</w:t>
      </w:r>
    </w:p>
    <w:p w:rsidR="000E504E" w:rsidRDefault="000E504E" w:rsidP="000E504E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lastRenderedPageBreak/>
        <w:t>И.о. Главы Администрации</w:t>
      </w:r>
    </w:p>
    <w:p w:rsidR="000E504E" w:rsidRDefault="000E504E" w:rsidP="000E504E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    Н.Ю. Голубева</w:t>
      </w:r>
    </w:p>
    <w:p w:rsidR="000E504E" w:rsidRDefault="000E504E" w:rsidP="000E504E">
      <w:pPr>
        <w:shd w:val="clear" w:color="auto" w:fill="FFFFFF"/>
        <w:spacing w:after="150" w:line="300" w:lineRule="atLeast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2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20" w:line="300" w:lineRule="atLeast"/>
        <w:jc w:val="right"/>
        <w:rPr>
          <w:color w:val="555555"/>
        </w:rPr>
      </w:pPr>
      <w:r>
        <w:rPr>
          <w:color w:val="555555"/>
        </w:rPr>
        <w:t>Приложение №1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 решению Представительного Собрания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Касторенского района Курской области</w:t>
      </w:r>
    </w:p>
    <w:p w:rsidR="000E504E" w:rsidRDefault="000E504E" w:rsidP="000E504E">
      <w:pPr>
        <w:shd w:val="clear" w:color="auto" w:fill="FFFFFF"/>
        <w:spacing w:after="120" w:line="300" w:lineRule="atLeast"/>
        <w:jc w:val="right"/>
        <w:rPr>
          <w:color w:val="555555"/>
        </w:rPr>
      </w:pPr>
      <w:r>
        <w:rPr>
          <w:color w:val="555555"/>
        </w:rPr>
        <w:t>от 26.02. 2021 года №12</w:t>
      </w:r>
    </w:p>
    <w:p w:rsidR="000E504E" w:rsidRDefault="000E504E" w:rsidP="000E504E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28"/>
          <w:szCs w:val="28"/>
        </w:rPr>
        <w:t>Перечень</w:t>
      </w:r>
    </w:p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  <w:sz w:val="28"/>
          <w:szCs w:val="28"/>
        </w:rPr>
        <w:t>муниципального движимого имущества, изымаемого из оперативного управления</w:t>
      </w:r>
    </w:p>
    <w:p w:rsidR="000E504E" w:rsidRDefault="000E504E" w:rsidP="000E504E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tbl>
      <w:tblPr>
        <w:tblpPr w:leftFromText="180" w:rightFromText="180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3"/>
        <w:gridCol w:w="1330"/>
        <w:gridCol w:w="959"/>
        <w:gridCol w:w="1452"/>
        <w:gridCol w:w="1354"/>
        <w:gridCol w:w="1588"/>
      </w:tblGrid>
      <w:tr w:rsidR="000E504E" w:rsidTr="000E504E">
        <w:trPr>
          <w:trHeight w:val="243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</w:t>
            </w:r>
            <w:r>
              <w:rPr>
                <w:rFonts w:ascii="Arial" w:hAnsi="Arial" w:cs="Arial"/>
              </w:rPr>
              <w:br/>
              <w:t>п.п.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br/>
              <w:t>изготовления,</w:t>
            </w:r>
            <w:r>
              <w:rPr>
                <w:rFonts w:ascii="Arial" w:hAnsi="Arial" w:cs="Arial"/>
              </w:rPr>
              <w:br/>
              <w:t>(постройки,</w:t>
            </w:r>
            <w:r>
              <w:rPr>
                <w:rFonts w:ascii="Arial" w:hAnsi="Arial" w:cs="Arial"/>
              </w:rPr>
              <w:br/>
              <w:t>закладки,</w:t>
            </w:r>
            <w:r>
              <w:rPr>
                <w:rFonts w:ascii="Arial" w:hAnsi="Arial" w:cs="Arial"/>
              </w:rPr>
              <w:br/>
              <w:t>рождения,</w:t>
            </w:r>
            <w:r>
              <w:rPr>
                <w:rFonts w:ascii="Arial" w:hAnsi="Arial" w:cs="Arial"/>
              </w:rPr>
              <w:br/>
              <w:t>регистрации)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Фактичес-</w:t>
            </w:r>
            <w:r>
              <w:rPr>
                <w:rFonts w:ascii="Arial" w:hAnsi="Arial" w:cs="Arial"/>
              </w:rPr>
              <w:br/>
              <w:t>кий срок</w:t>
            </w:r>
            <w:r>
              <w:rPr>
                <w:rFonts w:ascii="Arial" w:hAnsi="Arial" w:cs="Arial"/>
              </w:rPr>
              <w:br/>
              <w:t>эксплуа-</w:t>
            </w:r>
            <w:r>
              <w:rPr>
                <w:rFonts w:ascii="Arial" w:hAnsi="Arial" w:cs="Arial"/>
              </w:rPr>
              <w:br/>
              <w:t>тации</w:t>
            </w:r>
            <w:r>
              <w:rPr>
                <w:rFonts w:ascii="Arial" w:hAnsi="Arial" w:cs="Arial"/>
              </w:rPr>
              <w:br/>
              <w:t>(месяцев)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Паспорт,</w:t>
            </w:r>
            <w:r>
              <w:rPr>
                <w:rFonts w:ascii="Arial" w:hAnsi="Arial" w:cs="Arial"/>
              </w:rPr>
              <w:br/>
              <w:t>свидетельство,</w:t>
            </w:r>
            <w:r>
              <w:rPr>
                <w:rFonts w:ascii="Arial" w:hAnsi="Arial" w:cs="Arial"/>
              </w:rPr>
              <w:br/>
              <w:t>чертеж,</w:t>
            </w:r>
            <w:r>
              <w:rPr>
                <w:rFonts w:ascii="Arial" w:hAnsi="Arial" w:cs="Arial"/>
              </w:rPr>
              <w:br/>
              <w:t>модель,</w:t>
            </w:r>
            <w:r>
              <w:rPr>
                <w:rFonts w:ascii="Arial" w:hAnsi="Arial" w:cs="Arial"/>
              </w:rPr>
              <w:br/>
              <w:t>марка</w:t>
            </w:r>
          </w:p>
        </w:tc>
        <w:tc>
          <w:tcPr>
            <w:tcW w:w="193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17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Первоначальная (балансовая стоимость)</w:t>
            </w:r>
          </w:p>
        </w:tc>
      </w:tr>
      <w:tr w:rsidR="000E504E" w:rsidTr="000E504E">
        <w:trPr>
          <w:trHeight w:val="1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инвентарный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E504E" w:rsidTr="000E504E">
        <w:trPr>
          <w:trHeight w:val="25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121310134436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Облучатель-рециркулятор на передвижной </w:t>
            </w:r>
            <w:r>
              <w:rPr>
                <w:rFonts w:ascii="Arial" w:hAnsi="Arial" w:cs="Arial"/>
              </w:rPr>
              <w:lastRenderedPageBreak/>
              <w:t>платформе «МЕГИДЕЗ»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Облучатель-рециркулятор на передвижной платформе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121310134420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594 663,97</w:t>
            </w:r>
          </w:p>
        </w:tc>
      </w:tr>
    </w:tbl>
    <w:p w:rsidR="000E504E" w:rsidRDefault="000E504E" w:rsidP="000E504E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rPr>
          <w:rFonts w:ascii="Times New Roman" w:hAnsi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Приложение №2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 решению Представительного Собрания</w:t>
      </w:r>
    </w:p>
    <w:p w:rsidR="000E504E" w:rsidRDefault="000E504E" w:rsidP="000E504E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lastRenderedPageBreak/>
        <w:t>Касторенского района Курской области</w:t>
      </w:r>
    </w:p>
    <w:p w:rsidR="000E504E" w:rsidRDefault="000E504E" w:rsidP="000E504E">
      <w:pPr>
        <w:shd w:val="clear" w:color="auto" w:fill="FFFFFF"/>
        <w:spacing w:after="120" w:line="300" w:lineRule="atLeast"/>
        <w:jc w:val="right"/>
        <w:rPr>
          <w:color w:val="555555"/>
        </w:rPr>
      </w:pPr>
      <w:r>
        <w:rPr>
          <w:color w:val="555555"/>
        </w:rPr>
        <w:t>от 26.02. 2021 года №12</w:t>
      </w:r>
    </w:p>
    <w:p w:rsidR="000E504E" w:rsidRDefault="000E504E" w:rsidP="000E504E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28"/>
          <w:szCs w:val="28"/>
        </w:rPr>
        <w:t>Перечень </w:t>
      </w:r>
    </w:p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  <w:sz w:val="28"/>
          <w:szCs w:val="28"/>
        </w:rPr>
        <w:t>муниципального движимого имущества, передаваемого в казну муниципального района «Касторенский»</w:t>
      </w:r>
    </w:p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tbl>
      <w:tblPr>
        <w:tblpPr w:leftFromText="180" w:rightFromText="180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3"/>
        <w:gridCol w:w="1330"/>
        <w:gridCol w:w="959"/>
        <w:gridCol w:w="1452"/>
        <w:gridCol w:w="1354"/>
        <w:gridCol w:w="1588"/>
      </w:tblGrid>
      <w:tr w:rsidR="000E504E" w:rsidTr="000E504E">
        <w:trPr>
          <w:trHeight w:val="243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</w:t>
            </w:r>
            <w:r>
              <w:rPr>
                <w:rFonts w:ascii="Arial" w:hAnsi="Arial" w:cs="Arial"/>
              </w:rPr>
              <w:br/>
              <w:t>п.п.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br/>
              <w:t>изготовления,</w:t>
            </w:r>
            <w:r>
              <w:rPr>
                <w:rFonts w:ascii="Arial" w:hAnsi="Arial" w:cs="Arial"/>
              </w:rPr>
              <w:br/>
              <w:t>(постройки,</w:t>
            </w:r>
            <w:r>
              <w:rPr>
                <w:rFonts w:ascii="Arial" w:hAnsi="Arial" w:cs="Arial"/>
              </w:rPr>
              <w:br/>
              <w:t>закладки,</w:t>
            </w:r>
            <w:r>
              <w:rPr>
                <w:rFonts w:ascii="Arial" w:hAnsi="Arial" w:cs="Arial"/>
              </w:rPr>
              <w:br/>
              <w:t>рождения,</w:t>
            </w:r>
            <w:r>
              <w:rPr>
                <w:rFonts w:ascii="Arial" w:hAnsi="Arial" w:cs="Arial"/>
              </w:rPr>
              <w:br/>
              <w:t>регистрации)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Фактичес-</w:t>
            </w:r>
            <w:r>
              <w:rPr>
                <w:rFonts w:ascii="Arial" w:hAnsi="Arial" w:cs="Arial"/>
              </w:rPr>
              <w:br/>
              <w:t>кий срок</w:t>
            </w:r>
            <w:r>
              <w:rPr>
                <w:rFonts w:ascii="Arial" w:hAnsi="Arial" w:cs="Arial"/>
              </w:rPr>
              <w:br/>
              <w:t>эксплуа-</w:t>
            </w:r>
            <w:r>
              <w:rPr>
                <w:rFonts w:ascii="Arial" w:hAnsi="Arial" w:cs="Arial"/>
              </w:rPr>
              <w:br/>
              <w:t>тации</w:t>
            </w:r>
            <w:r>
              <w:rPr>
                <w:rFonts w:ascii="Arial" w:hAnsi="Arial" w:cs="Arial"/>
              </w:rPr>
              <w:br/>
              <w:t>(месяцев)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Паспорт,</w:t>
            </w:r>
            <w:r>
              <w:rPr>
                <w:rFonts w:ascii="Arial" w:hAnsi="Arial" w:cs="Arial"/>
              </w:rPr>
              <w:br/>
              <w:t>свидетельство,</w:t>
            </w:r>
            <w:r>
              <w:rPr>
                <w:rFonts w:ascii="Arial" w:hAnsi="Arial" w:cs="Arial"/>
              </w:rPr>
              <w:br/>
              <w:t>чертеж,</w:t>
            </w:r>
            <w:r>
              <w:rPr>
                <w:rFonts w:ascii="Arial" w:hAnsi="Arial" w:cs="Arial"/>
              </w:rPr>
              <w:br/>
              <w:t>модель,</w:t>
            </w:r>
            <w:r>
              <w:rPr>
                <w:rFonts w:ascii="Arial" w:hAnsi="Arial" w:cs="Arial"/>
              </w:rPr>
              <w:br/>
              <w:t>марка</w:t>
            </w:r>
          </w:p>
        </w:tc>
        <w:tc>
          <w:tcPr>
            <w:tcW w:w="193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17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Первоначальная (балансовая стоимость)</w:t>
            </w:r>
          </w:p>
        </w:tc>
      </w:tr>
      <w:tr w:rsidR="000E504E" w:rsidTr="000E504E">
        <w:trPr>
          <w:trHeight w:val="1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инвентарный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E504E" w:rsidTr="000E504E">
        <w:trPr>
          <w:trHeight w:val="25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121310134436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Облучатель-рециркулятор на передвижной платформе «МЕГИДЕЗ»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Облучатель-рециркулятор на передвижной платформе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121310134420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0E504E" w:rsidTr="000E504E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0E504E" w:rsidRDefault="000E504E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594 663,97</w:t>
            </w:r>
          </w:p>
        </w:tc>
      </w:tr>
    </w:tbl>
    <w:p w:rsidR="000E504E" w:rsidRDefault="000E504E" w:rsidP="000E504E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color w:val="555555"/>
        </w:rPr>
        <w:lastRenderedPageBreak/>
        <w:t> </w:t>
      </w:r>
    </w:p>
    <w:p w:rsidR="0054286E" w:rsidRPr="000E504E" w:rsidRDefault="0054286E" w:rsidP="000E504E">
      <w:bookmarkStart w:id="0" w:name="_GoBack"/>
      <w:bookmarkEnd w:id="0"/>
    </w:p>
    <w:sectPr w:rsidR="0054286E" w:rsidRPr="000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E504E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ED2231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22</cp:revision>
  <dcterms:created xsi:type="dcterms:W3CDTF">2023-09-08T05:49:00Z</dcterms:created>
  <dcterms:modified xsi:type="dcterms:W3CDTF">2023-09-08T06:05:00Z</dcterms:modified>
</cp:coreProperties>
</file>